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新疆喀什地区巴楚县农村合作经济经营管理局2019年度部门决算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0" w:name="_Toc32314"/>
      <w:bookmarkStart w:id="1" w:name="_Toc24028"/>
      <w:r>
        <w:rPr>
          <w:rFonts w:hint="eastAsia" w:ascii="黑体" w:hAnsi="黑体" w:eastAsia="黑体"/>
          <w:sz w:val="32"/>
          <w:szCs w:val="32"/>
        </w:rPr>
        <w:t>第一部分 部门单位概况</w:t>
      </w:r>
      <w:bookmarkEnd w:id="0"/>
      <w:bookmarkEnd w:id="1"/>
    </w:p>
    <w:p>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rPr>
          <w:rFonts w:ascii="仿宋_GB2312" w:eastAsia="仿宋_GB2312"/>
          <w:sz w:val="32"/>
          <w:szCs w:val="32"/>
        </w:rPr>
      </w:pPr>
      <w:r>
        <w:rPr>
          <w:rFonts w:hint="eastAsia" w:ascii="仿宋_GB2312" w:eastAsia="仿宋_GB2312"/>
          <w:sz w:val="32"/>
          <w:szCs w:val="32"/>
        </w:rPr>
        <w:t xml:space="preserve">    负责为农村合作经济健康发展提供管理保障，保障土地承包、农村集体生产、农村合作经济组织、农民负担、农村财务、统计、合作基金管理。</w:t>
      </w:r>
    </w:p>
    <w:p>
      <w:pPr>
        <w:ind w:firstLine="640" w:firstLineChars="200"/>
        <w:outlineLvl w:val="1"/>
        <w:rPr>
          <w:rFonts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pPr>
      <w:r>
        <w:rPr>
          <w:rFonts w:hint="eastAsia" w:ascii="仿宋_GB2312" w:eastAsia="仿宋_GB2312"/>
          <w:sz w:val="32"/>
          <w:szCs w:val="32"/>
        </w:rPr>
        <w:t>新疆喀什地区巴楚县农村合作经济经营管理局2</w:t>
      </w:r>
      <w:r>
        <w:rPr>
          <w:rFonts w:ascii="仿宋_GB2312" w:eastAsia="仿宋_GB2312"/>
          <w:sz w:val="32"/>
          <w:szCs w:val="32"/>
        </w:rPr>
        <w:t>019</w:t>
      </w:r>
      <w:r>
        <w:rPr>
          <w:rFonts w:hint="eastAsia" w:ascii="仿宋_GB2312" w:eastAsia="仿宋_GB2312"/>
          <w:sz w:val="32"/>
          <w:szCs w:val="32"/>
        </w:rPr>
        <w:t>年度，实有人数24人，其中：在职人员24人，离休人员0人，退休人员0人。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从部门决算单位构成看，新疆喀什地区巴楚县农村合作经济经营管理局部门决算包括：新疆喀什地区巴楚县农村合作经济经营管理局决算。</w:t>
      </w:r>
    </w:p>
    <w:p>
      <w:pPr>
        <w:ind w:firstLine="640" w:firstLineChars="200"/>
        <w:jc w:val="center"/>
        <w:outlineLvl w:val="0"/>
        <w:rPr>
          <w:rFonts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rPr>
          <w:rFonts w:ascii="仿宋_GB2312" w:eastAsia="仿宋_GB2312"/>
          <w:sz w:val="32"/>
          <w:szCs w:val="32"/>
        </w:rPr>
      </w:pPr>
      <w:r>
        <w:rPr>
          <w:rFonts w:hint="eastAsia" w:ascii="仿宋_GB2312" w:eastAsia="仿宋_GB2312"/>
          <w:sz w:val="32"/>
          <w:szCs w:val="32"/>
        </w:rPr>
        <w:t>2019年度本年收入852.73万元，与上年相比，减少113.31万元，下降11.73%，主要原因是：</w:t>
      </w:r>
      <w:r>
        <w:rPr>
          <w:rFonts w:hint="eastAsia" w:ascii="仿宋_GB2312" w:eastAsia="仿宋_GB2312"/>
          <w:color w:val="000000" w:themeColor="text1"/>
          <w:sz w:val="32"/>
          <w:szCs w:val="32"/>
          <w14:textFill>
            <w14:solidFill>
              <w14:schemeClr w14:val="tx1"/>
            </w14:solidFill>
          </w14:textFill>
        </w:rPr>
        <w:t>本单位今年的土地确权项目资金同上年相比，减少支出。</w:t>
      </w:r>
      <w:r>
        <w:rPr>
          <w:rFonts w:hint="eastAsia" w:ascii="仿宋_GB2312" w:eastAsia="仿宋_GB2312"/>
          <w:sz w:val="32"/>
          <w:szCs w:val="32"/>
        </w:rPr>
        <w:t>本年支出852.73万元，与上年相比，减少113.31万元，下降11.73%，主要原因是：</w:t>
      </w:r>
      <w:r>
        <w:rPr>
          <w:rFonts w:hint="eastAsia" w:ascii="仿宋_GB2312" w:eastAsia="仿宋_GB2312"/>
          <w:color w:val="000000" w:themeColor="text1"/>
          <w:sz w:val="32"/>
          <w:szCs w:val="32"/>
          <w14:textFill>
            <w14:solidFill>
              <w14:schemeClr w14:val="tx1"/>
            </w14:solidFill>
          </w14:textFill>
        </w:rPr>
        <w:t>本单位今年的土地确权项目资金同上年相比，减少支出。</w:t>
      </w:r>
    </w:p>
    <w:p>
      <w:pPr>
        <w:ind w:firstLine="640" w:firstLineChars="200"/>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eastAsia="仿宋_GB2312"/>
          <w:sz w:val="32"/>
          <w:szCs w:val="32"/>
        </w:rPr>
        <w:t>2019</w:t>
      </w:r>
      <w:r>
        <w:rPr>
          <w:rFonts w:hint="eastAsia" w:ascii="仿宋_GB2312" w:eastAsia="仿宋_GB2312"/>
          <w:sz w:val="32"/>
          <w:szCs w:val="32"/>
        </w:rPr>
        <w:t>年度本年收入852.73万元，其中：财政拨款收入852.73万元，占100%；上级补助收入0万元，占0%；事业收入0万元，占0%；经营收入0万元，占0%；附属单位上缴收入0万元，占0%；其他收入0万元，占0%。</w:t>
      </w:r>
    </w:p>
    <w:p>
      <w:pPr>
        <w:ind w:firstLine="640" w:firstLineChars="200"/>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hint="eastAsia" w:ascii="仿宋_GB2312" w:eastAsia="仿宋_GB2312"/>
          <w:sz w:val="32"/>
          <w:szCs w:val="32"/>
        </w:rPr>
        <w:t>2019年度本年支出852.73万元，其中：基本支出297.70万元，占34.91%；项目支出555.03万元，占65.09%；上缴上级支出0万元，占0%；经营支出0万元，占0%；对附属单位补助支出0万元，占0%。</w:t>
      </w:r>
    </w:p>
    <w:p>
      <w:pPr>
        <w:ind w:firstLine="640" w:firstLineChars="200"/>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hint="eastAsia" w:ascii="仿宋_GB2312" w:eastAsia="仿宋_GB2312"/>
          <w:sz w:val="32"/>
          <w:szCs w:val="32"/>
        </w:rPr>
        <w:t>2019年度财政拨款收入852.73万元，与上年相比，减少113.31万元，下降11.73%，主要原因是：本单位今年的土地确权项目资金同上年相比，减少支出。财政拨款支出852.73万元，与上年相比，减少113.31万元，下降11.73%，主要原因是：</w:t>
      </w:r>
      <w:r>
        <w:rPr>
          <w:rFonts w:ascii="仿宋_GB2312" w:eastAsia="仿宋_GB2312"/>
          <w:sz w:val="32"/>
          <w:szCs w:val="32"/>
        </w:rPr>
        <w:t>本单位今年的土地确权项目资金同上年相比，减少支出。</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color w:val="000000" w:themeColor="text1"/>
          <w:sz w:val="32"/>
          <w:szCs w:val="32"/>
          <w14:textFill>
            <w14:solidFill>
              <w14:schemeClr w14:val="tx1"/>
            </w14:solidFill>
          </w14:textFill>
        </w:rPr>
        <w:t>301.91</w:t>
      </w:r>
      <w:r>
        <w:rPr>
          <w:rFonts w:hint="eastAsia" w:ascii="仿宋_GB2312" w:eastAsia="仿宋_GB2312"/>
          <w:sz w:val="32"/>
          <w:szCs w:val="32"/>
        </w:rPr>
        <w:t>万元，决算数852.73万元</w:t>
      </w:r>
      <w:r>
        <w:rPr>
          <w:rFonts w:ascii="仿宋_GB2312" w:eastAsia="仿宋_GB2312"/>
          <w:color w:val="000000" w:themeColor="text1"/>
          <w:sz w:val="32"/>
          <w:szCs w:val="32"/>
          <w14:textFill>
            <w14:solidFill>
              <w14:schemeClr w14:val="tx1"/>
            </w14:solidFill>
          </w14:textFill>
        </w:rPr>
        <w:t>，预决算差异率182.45%，主要原因是：部分项目资金未列入年初预算。</w:t>
      </w:r>
      <w:r>
        <w:rPr>
          <w:rFonts w:hint="eastAsia" w:ascii="仿宋_GB2312" w:eastAsia="仿宋_GB2312"/>
          <w:sz w:val="32"/>
          <w:szCs w:val="32"/>
        </w:rPr>
        <w:t>财政拨款支出年初预算数</w:t>
      </w:r>
      <w:r>
        <w:rPr>
          <w:rFonts w:ascii="仿宋_GB2312" w:eastAsia="仿宋_GB2312"/>
          <w:color w:val="000000" w:themeColor="text1"/>
          <w:sz w:val="32"/>
          <w:szCs w:val="32"/>
          <w14:textFill>
            <w14:solidFill>
              <w14:schemeClr w14:val="tx1"/>
            </w14:solidFill>
          </w14:textFill>
        </w:rPr>
        <w:t>301.91</w:t>
      </w:r>
      <w:r>
        <w:rPr>
          <w:rFonts w:hint="eastAsia" w:ascii="仿宋_GB2312" w:eastAsia="仿宋_GB2312"/>
          <w:sz w:val="32"/>
          <w:szCs w:val="32"/>
        </w:rPr>
        <w:t>万元，决算数852.73万元</w:t>
      </w:r>
      <w:r>
        <w:rPr>
          <w:rFonts w:ascii="仿宋_GB2312" w:eastAsia="仿宋_GB2312"/>
          <w:color w:val="000000" w:themeColor="text1"/>
          <w:sz w:val="32"/>
          <w:szCs w:val="32"/>
          <w14:textFill>
            <w14:solidFill>
              <w14:schemeClr w14:val="tx1"/>
            </w14:solidFill>
          </w14:textFill>
        </w:rPr>
        <w:t>，预决算差异率182.45%，主要原因是：部分项目资金未列入年初预算。</w:t>
      </w:r>
    </w:p>
    <w:p>
      <w:pPr>
        <w:ind w:firstLine="640" w:firstLineChars="200"/>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eastAsia="仿宋_GB2312"/>
          <w:sz w:val="32"/>
          <w:szCs w:val="32"/>
        </w:rPr>
        <w:t>2019</w:t>
      </w:r>
      <w:r>
        <w:rPr>
          <w:rFonts w:hint="eastAsia" w:ascii="仿宋_GB2312" w:eastAsia="仿宋_GB2312"/>
          <w:sz w:val="32"/>
          <w:szCs w:val="32"/>
        </w:rPr>
        <w:t>年度一般公共预算财政拨款支出852.73万元。按功能分类科目项级科目公开，其中：</w:t>
      </w:r>
    </w:p>
    <w:p>
      <w:pPr>
        <w:rPr>
          <w:rFonts w:ascii="仿宋_GB2312" w:eastAsia="仿宋_GB2312"/>
          <w:sz w:val="32"/>
          <w:szCs w:val="32"/>
        </w:rPr>
      </w:pPr>
      <w:r>
        <w:rPr>
          <w:rFonts w:ascii="仿宋_GB2312" w:eastAsia="仿宋_GB2312"/>
          <w:sz w:val="32"/>
          <w:szCs w:val="32"/>
        </w:rPr>
        <w:t xml:space="preserve">   2080505机关事业单位基本养老保险缴费支出29.34万元；</w:t>
      </w:r>
      <w:r>
        <w:rPr>
          <w:rFonts w:ascii="仿宋_GB2312" w:eastAsia="仿宋_GB2312"/>
          <w:sz w:val="32"/>
          <w:szCs w:val="32"/>
        </w:rPr>
        <w:br w:type="textWrapping"/>
      </w:r>
      <w:r>
        <w:rPr>
          <w:rFonts w:ascii="仿宋_GB2312" w:eastAsia="仿宋_GB2312"/>
          <w:sz w:val="32"/>
          <w:szCs w:val="32"/>
        </w:rPr>
        <w:t xml:space="preserve">   2101101行政单位医疗支出16.33万元；</w:t>
      </w:r>
      <w:r>
        <w:rPr>
          <w:rFonts w:ascii="仿宋_GB2312" w:eastAsia="仿宋_GB2312"/>
          <w:sz w:val="32"/>
          <w:szCs w:val="32"/>
        </w:rPr>
        <w:br w:type="textWrapping"/>
      </w:r>
      <w:r>
        <w:rPr>
          <w:rFonts w:ascii="仿宋_GB2312" w:eastAsia="仿宋_GB2312"/>
          <w:sz w:val="32"/>
          <w:szCs w:val="32"/>
        </w:rPr>
        <w:t xml:space="preserve">   2101103公务员医疗补助支出3.37万元；</w:t>
      </w:r>
      <w:r>
        <w:rPr>
          <w:rFonts w:ascii="仿宋_GB2312" w:eastAsia="仿宋_GB2312"/>
          <w:sz w:val="32"/>
          <w:szCs w:val="32"/>
        </w:rPr>
        <w:br w:type="textWrapping"/>
      </w:r>
      <w:r>
        <w:rPr>
          <w:rFonts w:ascii="仿宋_GB2312" w:eastAsia="仿宋_GB2312"/>
          <w:sz w:val="32"/>
          <w:szCs w:val="32"/>
        </w:rPr>
        <w:t xml:space="preserve">   2130101行政运行支出227.19万元；</w:t>
      </w:r>
      <w:r>
        <w:rPr>
          <w:rFonts w:ascii="仿宋_GB2312" w:eastAsia="仿宋_GB2312"/>
          <w:sz w:val="32"/>
          <w:szCs w:val="32"/>
        </w:rPr>
        <w:br w:type="textWrapping"/>
      </w:r>
      <w:r>
        <w:rPr>
          <w:rFonts w:ascii="仿宋_GB2312" w:eastAsia="仿宋_GB2312"/>
          <w:sz w:val="32"/>
          <w:szCs w:val="32"/>
        </w:rPr>
        <w:t xml:space="preserve">   2130199其他农业支出545.03万元；</w:t>
      </w:r>
      <w:r>
        <w:rPr>
          <w:rFonts w:ascii="仿宋_GB2312" w:eastAsia="仿宋_GB2312"/>
          <w:sz w:val="32"/>
          <w:szCs w:val="32"/>
        </w:rPr>
        <w:br w:type="textWrapping"/>
      </w:r>
      <w:r>
        <w:rPr>
          <w:rFonts w:ascii="仿宋_GB2312" w:eastAsia="仿宋_GB2312"/>
          <w:sz w:val="32"/>
          <w:szCs w:val="32"/>
        </w:rPr>
        <w:t xml:space="preserve">   2210201住房公积金支出21.47万元；</w:t>
      </w:r>
      <w:r>
        <w:rPr>
          <w:rFonts w:ascii="仿宋_GB2312" w:eastAsia="仿宋_GB2312"/>
          <w:sz w:val="32"/>
          <w:szCs w:val="32"/>
        </w:rPr>
        <w:br w:type="textWrapping"/>
      </w:r>
      <w:r>
        <w:rPr>
          <w:rFonts w:ascii="仿宋_GB2312" w:eastAsia="仿宋_GB2312"/>
          <w:sz w:val="32"/>
          <w:szCs w:val="32"/>
        </w:rPr>
        <w:t xml:space="preserve">   2299901其他支出10万元。</w:t>
      </w:r>
    </w:p>
    <w:p>
      <w:pPr>
        <w:ind w:firstLine="640" w:firstLineChars="200"/>
        <w:outlineLvl w:val="1"/>
        <w:rPr>
          <w:rFonts w:ascii="黑体" w:hAnsi="黑体" w:eastAsia="黑体" w:cs="宋体"/>
          <w:bCs/>
          <w:kern w:val="0"/>
          <w:sz w:val="32"/>
          <w:szCs w:val="32"/>
        </w:rPr>
      </w:pPr>
      <w:bookmarkStart w:id="18" w:name="_Toc11146"/>
      <w:bookmarkStart w:id="19" w:name="_Toc30870"/>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eastAsia="仿宋_GB2312"/>
          <w:sz w:val="32"/>
          <w:szCs w:val="32"/>
        </w:rPr>
        <w:t>2019</w:t>
      </w:r>
      <w:r>
        <w:rPr>
          <w:rFonts w:hint="eastAsia" w:ascii="仿宋_GB2312" w:eastAsia="仿宋_GB2312"/>
          <w:sz w:val="32"/>
          <w:szCs w:val="32"/>
        </w:rPr>
        <w:t>年度一般公共预算财政拨款基本支出297.70万元，其中：</w:t>
      </w:r>
    </w:p>
    <w:p>
      <w:pPr>
        <w:ind w:firstLine="640" w:firstLineChars="200"/>
        <w:rPr>
          <w:rFonts w:ascii="仿宋_GB2312" w:eastAsia="仿宋_GB2312"/>
          <w:sz w:val="32"/>
          <w:szCs w:val="32"/>
        </w:rPr>
      </w:pPr>
      <w:r>
        <w:rPr>
          <w:rFonts w:hint="eastAsia" w:ascii="仿宋_GB2312" w:eastAsia="仿宋_GB2312"/>
          <w:sz w:val="32"/>
          <w:szCs w:val="32"/>
        </w:rPr>
        <w:t>人员经费284.53万元，包括：基本工资、津贴补贴、奖金、机关事业单位基本养老保险缴费、职工基本医疗保险缴费、公务员医疗补助缴费、其他社会保障缴费、住房公积金、</w:t>
      </w:r>
      <w:r>
        <w:rPr>
          <w:rFonts w:hint="eastAsia" w:ascii="仿宋_GB2312" w:eastAsia="仿宋_GB2312"/>
          <w:color w:val="auto"/>
          <w:sz w:val="32"/>
          <w:szCs w:val="32"/>
          <w:lang w:eastAsia="zh-CN"/>
        </w:rPr>
        <w:t>对个人和家庭的补助、</w:t>
      </w:r>
      <w:r>
        <w:rPr>
          <w:rFonts w:hint="eastAsia" w:ascii="仿宋_GB2312" w:eastAsia="仿宋_GB2312"/>
          <w:sz w:val="32"/>
          <w:szCs w:val="32"/>
        </w:rPr>
        <w:t>退休费、抚恤金、生活补助。</w:t>
      </w:r>
    </w:p>
    <w:p>
      <w:pPr>
        <w:ind w:firstLine="640" w:firstLineChars="200"/>
        <w:rPr>
          <w:rFonts w:ascii="仿宋_GB2312" w:eastAsia="仿宋_GB2312"/>
          <w:sz w:val="32"/>
          <w:szCs w:val="32"/>
        </w:rPr>
      </w:pPr>
      <w:r>
        <w:rPr>
          <w:rFonts w:hint="eastAsia" w:ascii="仿宋_GB2312" w:eastAsia="仿宋_GB2312"/>
          <w:sz w:val="32"/>
          <w:szCs w:val="32"/>
        </w:rPr>
        <w:t>公用经费13.17万元，包括：办公费、水费、差旅费、劳务费、公务用车运行维护费。</w:t>
      </w:r>
    </w:p>
    <w:p>
      <w:pPr>
        <w:ind w:firstLine="640" w:firstLineChars="200"/>
        <w:outlineLvl w:val="1"/>
        <w:rPr>
          <w:rFonts w:ascii="黑体" w:hAnsi="黑体" w:eastAsia="黑体" w:cs="宋体"/>
          <w:bCs/>
          <w:kern w:val="0"/>
          <w:sz w:val="32"/>
          <w:szCs w:val="32"/>
        </w:rPr>
      </w:pPr>
      <w:bookmarkStart w:id="20" w:name="_Toc7190"/>
      <w:bookmarkStart w:id="21" w:name="_Toc21518"/>
      <w:r>
        <w:rPr>
          <w:rFonts w:hint="eastAsia" w:ascii="黑体" w:hAnsi="黑体" w:eastAsia="黑体" w:cs="宋体"/>
          <w:bCs/>
          <w:kern w:val="0"/>
          <w:sz w:val="32"/>
          <w:szCs w:val="32"/>
        </w:rPr>
        <w:t>七、一般公共预算财政拨款“三公”经费支出决算情况说明</w:t>
      </w:r>
      <w:bookmarkEnd w:id="20"/>
      <w:bookmarkEnd w:id="21"/>
    </w:p>
    <w:p>
      <w:pPr>
        <w:ind w:firstLine="640" w:firstLineChars="200"/>
        <w:rPr>
          <w:rFonts w:ascii="仿宋_GB2312" w:eastAsia="仿宋_GB2312"/>
          <w:sz w:val="32"/>
          <w:szCs w:val="32"/>
        </w:rPr>
      </w:pPr>
      <w:r>
        <w:rPr>
          <w:rFonts w:ascii="仿宋_GB2312" w:eastAsia="仿宋_GB2312"/>
          <w:sz w:val="32"/>
          <w:szCs w:val="32"/>
        </w:rPr>
        <w:t>2019</w:t>
      </w:r>
      <w:r>
        <w:rPr>
          <w:rFonts w:hint="eastAsia" w:ascii="仿宋_GB2312" w:eastAsia="仿宋_GB2312"/>
          <w:sz w:val="32"/>
          <w:szCs w:val="32"/>
        </w:rPr>
        <w:t>年度一般公共预算“三公”经费支出决算3万元，比上年增加0.01万元，增长0.33%，主要原因是业务量增加，出差较多，三公经费增加。其中，因公出国（境）费支出0万元，占0%，比上年增加0万元，增长0%，主要原因是无此项内容；公务用车购置及运行维护费支出3万元，占100%，比上年增加0.01万元，增长0.33%，主要原因是业务量增加，出差较多，三公经费增加；公务接待费支出0万元，占0%，比上年增加0万元，增长0%，主要原因是无此项内容。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因公出国（境）费支出0万元，开支内容包括：</w:t>
      </w:r>
      <w:r>
        <w:rPr>
          <w:rFonts w:ascii="仿宋_GB2312" w:eastAsia="仿宋_GB2312"/>
          <w:color w:val="000000" w:themeColor="text1"/>
          <w:sz w:val="32"/>
          <w:szCs w:val="32"/>
          <w14:textFill>
            <w14:solidFill>
              <w14:schemeClr w14:val="tx1"/>
            </w14:solidFill>
          </w14:textFill>
        </w:rPr>
        <w:t>无此项内容。</w:t>
      </w:r>
      <w:r>
        <w:rPr>
          <w:rFonts w:hint="eastAsia" w:ascii="仿宋_GB2312" w:eastAsia="仿宋_GB2312"/>
          <w:sz w:val="32"/>
          <w:szCs w:val="32"/>
        </w:rPr>
        <w:t>单位全年安排的因公出国（境）团组0个，因公出国（境）0人次。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公务用车购置及运行维护费3万元，其中，公务用车购置费0万元，公务用车运行维护费3万元。公务用车运行维护费开支内容包括燃油费、车辆维护费。公务用车购置数0辆，公务用车保有量1辆。</w:t>
      </w:r>
    </w:p>
    <w:p>
      <w:pPr>
        <w:ind w:firstLine="640" w:firstLineChars="200"/>
        <w:rPr>
          <w:rFonts w:ascii="仿宋_GB2312" w:eastAsia="仿宋_GB2312"/>
          <w:sz w:val="32"/>
          <w:szCs w:val="32"/>
        </w:rPr>
      </w:pPr>
      <w:r>
        <w:rPr>
          <w:rFonts w:hint="eastAsia" w:ascii="仿宋_GB2312" w:eastAsia="仿宋_GB2312"/>
          <w:sz w:val="32"/>
          <w:szCs w:val="32"/>
        </w:rPr>
        <w:t>公务接待费0万元，开支内容包括无此项内容。单位全年安排的国内公务接待0批次，0人次。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w:t>
      </w:r>
      <w:r>
        <w:rPr>
          <w:rFonts w:ascii="仿宋_GB2312" w:eastAsia="仿宋_GB2312"/>
          <w:color w:val="000000" w:themeColor="text1"/>
          <w:sz w:val="32"/>
          <w:szCs w:val="32"/>
          <w14:textFill>
            <w14:solidFill>
              <w14:schemeClr w14:val="tx1"/>
            </w14:solidFill>
          </w14:textFill>
        </w:rPr>
        <w:t>3</w:t>
      </w:r>
      <w:r>
        <w:rPr>
          <w:rFonts w:hint="eastAsia" w:ascii="仿宋_GB2312" w:eastAsia="仿宋_GB2312"/>
          <w:sz w:val="32"/>
          <w:szCs w:val="32"/>
        </w:rPr>
        <w:t>万元，决算数</w:t>
      </w:r>
      <w:r>
        <w:rPr>
          <w:rFonts w:hint="eastAsia" w:ascii="仿宋_GB2312" w:eastAsia="仿宋_GB2312"/>
          <w:color w:val="000000" w:themeColor="text1"/>
          <w:sz w:val="32"/>
          <w:szCs w:val="32"/>
          <w14:textFill>
            <w14:solidFill>
              <w14:schemeClr w14:val="tx1"/>
            </w14:solidFill>
          </w14:textFill>
        </w:rPr>
        <w:t>3</w:t>
      </w:r>
      <w:r>
        <w:rPr>
          <w:rFonts w:hint="eastAsia" w:ascii="仿宋_GB2312" w:eastAsia="仿宋_GB2312"/>
          <w:sz w:val="32"/>
          <w:szCs w:val="32"/>
        </w:rPr>
        <w:t>万元</w:t>
      </w:r>
      <w:r>
        <w:rPr>
          <w:rFonts w:ascii="仿宋_GB2312" w:eastAsia="仿宋_GB2312"/>
          <w:color w:val="000000" w:themeColor="text1"/>
          <w:sz w:val="32"/>
          <w:szCs w:val="32"/>
          <w14:textFill>
            <w14:solidFill>
              <w14:schemeClr w14:val="tx1"/>
            </w14:solidFill>
          </w14:textFill>
        </w:rPr>
        <w:t>，预决算差异率0%，主要原因是：严格</w:t>
      </w:r>
      <w:r>
        <w:rPr>
          <w:rFonts w:hint="eastAsia" w:ascii="仿宋_GB2312" w:eastAsia="仿宋_GB2312"/>
          <w:color w:val="000000" w:themeColor="text1"/>
          <w:sz w:val="32"/>
          <w:szCs w:val="32"/>
          <w:lang w:eastAsia="zh-CN"/>
          <w14:textFill>
            <w14:solidFill>
              <w14:schemeClr w14:val="tx1"/>
            </w14:solidFill>
          </w14:textFill>
        </w:rPr>
        <w:t>按照年初预算数执行</w:t>
      </w:r>
      <w:r>
        <w:rPr>
          <w:rFonts w:ascii="仿宋_GB2312" w:eastAsia="仿宋_GB2312"/>
          <w:color w:val="000000" w:themeColor="text1"/>
          <w:sz w:val="32"/>
          <w:szCs w:val="32"/>
          <w14:textFill>
            <w14:solidFill>
              <w14:schemeClr w14:val="tx1"/>
            </w14:solidFill>
          </w14:textFill>
        </w:rPr>
        <w:t>。</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万元，决算数</w:t>
      </w:r>
      <w:r>
        <w:rPr>
          <w:rFonts w:hint="eastAsia"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万元</w:t>
      </w:r>
      <w:r>
        <w:rPr>
          <w:rFonts w:ascii="仿宋_GB2312" w:eastAsia="仿宋_GB2312"/>
          <w:color w:val="000000" w:themeColor="text1"/>
          <w:sz w:val="32"/>
          <w:szCs w:val="32"/>
          <w14:textFill>
            <w14:solidFill>
              <w14:schemeClr w14:val="tx1"/>
            </w14:solidFill>
          </w14:textFill>
        </w:rPr>
        <w:t>，预决算差异率0%，主要原因是：无此项内容；</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万元，决算数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万元</w:t>
      </w:r>
      <w:r>
        <w:rPr>
          <w:rFonts w:ascii="仿宋_GB2312" w:eastAsia="仿宋_GB2312"/>
          <w:color w:val="000000" w:themeColor="text1"/>
          <w:sz w:val="32"/>
          <w:szCs w:val="32"/>
          <w14:textFill>
            <w14:solidFill>
              <w14:schemeClr w14:val="tx1"/>
            </w14:solidFill>
          </w14:textFill>
        </w:rPr>
        <w:t>，预决算差异率0%，主要原因是：无此项内容；</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w:t>
      </w:r>
      <w:r>
        <w:rPr>
          <w:rFonts w:ascii="仿宋_GB2312" w:eastAsia="仿宋_GB2312"/>
          <w:color w:val="000000" w:themeColor="text1"/>
          <w:sz w:val="32"/>
          <w:szCs w:val="32"/>
          <w14:textFill>
            <w14:solidFill>
              <w14:schemeClr w14:val="tx1"/>
            </w14:solidFill>
          </w14:textFill>
        </w:rPr>
        <w:t>3</w:t>
      </w:r>
      <w:r>
        <w:rPr>
          <w:rFonts w:hint="eastAsia" w:ascii="仿宋_GB2312" w:eastAsia="仿宋_GB2312"/>
          <w:sz w:val="32"/>
          <w:szCs w:val="32"/>
        </w:rPr>
        <w:t>万元，决算数</w:t>
      </w:r>
      <w:r>
        <w:rPr>
          <w:rFonts w:ascii="仿宋_GB2312" w:eastAsia="仿宋_GB2312"/>
          <w:color w:val="000000" w:themeColor="text1"/>
          <w:sz w:val="32"/>
          <w:szCs w:val="32"/>
          <w14:textFill>
            <w14:solidFill>
              <w14:schemeClr w14:val="tx1"/>
            </w14:solidFill>
          </w14:textFill>
        </w:rPr>
        <w:t>3</w:t>
      </w:r>
      <w:r>
        <w:rPr>
          <w:rFonts w:hint="eastAsia" w:ascii="仿宋_GB2312" w:eastAsia="仿宋_GB2312"/>
          <w:sz w:val="32"/>
          <w:szCs w:val="32"/>
        </w:rPr>
        <w:t>万元</w:t>
      </w:r>
      <w:r>
        <w:rPr>
          <w:rFonts w:ascii="仿宋_GB2312" w:eastAsia="仿宋_GB2312"/>
          <w:color w:val="000000" w:themeColor="text1"/>
          <w:sz w:val="32"/>
          <w:szCs w:val="32"/>
          <w14:textFill>
            <w14:solidFill>
              <w14:schemeClr w14:val="tx1"/>
            </w14:solidFill>
          </w14:textFill>
        </w:rPr>
        <w:t>，预决算差异率0%，主要原因是：严格</w:t>
      </w:r>
      <w:r>
        <w:rPr>
          <w:rFonts w:hint="eastAsia" w:ascii="仿宋_GB2312" w:eastAsia="仿宋_GB2312"/>
          <w:color w:val="000000" w:themeColor="text1"/>
          <w:sz w:val="32"/>
          <w:szCs w:val="32"/>
          <w:lang w:eastAsia="zh-CN"/>
          <w14:textFill>
            <w14:solidFill>
              <w14:schemeClr w14:val="tx1"/>
            </w14:solidFill>
          </w14:textFill>
        </w:rPr>
        <w:t>按照年初预算数执行</w:t>
      </w:r>
      <w:r>
        <w:rPr>
          <w:rFonts w:ascii="仿宋_GB2312" w:eastAsia="仿宋_GB2312"/>
          <w:color w:val="000000" w:themeColor="text1"/>
          <w:sz w:val="32"/>
          <w:szCs w:val="32"/>
          <w14:textFill>
            <w14:solidFill>
              <w14:schemeClr w14:val="tx1"/>
            </w14:solidFill>
          </w14:textFill>
        </w:rPr>
        <w:t>；</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万元，决算数</w:t>
      </w:r>
      <w:r>
        <w:rPr>
          <w:rFonts w:hint="eastAsia"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万元</w:t>
      </w:r>
      <w:r>
        <w:rPr>
          <w:rFonts w:ascii="仿宋_GB2312" w:eastAsia="仿宋_GB2312"/>
          <w:color w:val="000000" w:themeColor="text1"/>
          <w:sz w:val="32"/>
          <w:szCs w:val="32"/>
          <w14:textFill>
            <w14:solidFill>
              <w14:schemeClr w14:val="tx1"/>
            </w14:solidFill>
          </w14:textFill>
        </w:rPr>
        <w:t>，预决算差异率0%，主要原因是：无此项内容。</w:t>
      </w:r>
      <w:bookmarkStart w:id="54" w:name="_GoBack"/>
      <w:bookmarkEnd w:id="54"/>
    </w:p>
    <w:p>
      <w:pPr>
        <w:ind w:firstLine="640" w:firstLineChars="200"/>
        <w:outlineLvl w:val="1"/>
        <w:rPr>
          <w:rFonts w:ascii="黑体" w:hAnsi="黑体" w:eastAsia="黑体" w:cs="宋体"/>
          <w:bCs/>
          <w:kern w:val="0"/>
          <w:sz w:val="32"/>
          <w:szCs w:val="32"/>
        </w:rPr>
      </w:pPr>
      <w:bookmarkStart w:id="22" w:name="_Toc5810"/>
      <w:bookmarkStart w:id="23" w:name="_Toc7927"/>
      <w:r>
        <w:rPr>
          <w:rFonts w:hint="eastAsia" w:ascii="黑体" w:hAnsi="黑体" w:eastAsia="黑体" w:cs="宋体"/>
          <w:bCs/>
          <w:kern w:val="0"/>
          <w:sz w:val="32"/>
          <w:szCs w:val="32"/>
        </w:rPr>
        <w:t>八、政府性基金预算收入支出决算情况说明</w:t>
      </w:r>
      <w:bookmarkEnd w:id="22"/>
      <w:bookmarkEnd w:id="23"/>
    </w:p>
    <w:p>
      <w:pPr>
        <w:ind w:firstLine="640" w:firstLineChars="200"/>
        <w:rPr>
          <w:rFonts w:ascii="仿宋_GB2312" w:eastAsia="仿宋_GB2312"/>
          <w:color w:val="000000" w:themeColor="text1"/>
          <w:sz w:val="32"/>
          <w:szCs w:val="32"/>
          <w14:textFill>
            <w14:solidFill>
              <w14:schemeClr w14:val="tx1"/>
            </w14:solidFill>
          </w14:textFill>
        </w:rPr>
      </w:pPr>
      <w:r>
        <w:rPr>
          <w:rFonts w:ascii="仿宋_GB2312" w:eastAsia="仿宋_GB2312"/>
          <w:color w:val="000000" w:themeColor="text1"/>
          <w:sz w:val="32"/>
          <w:szCs w:val="32"/>
          <w14:textFill>
            <w14:solidFill>
              <w14:schemeClr w14:val="tx1"/>
            </w14:solidFill>
          </w14:textFill>
        </w:rPr>
        <w:t>我单位本年度无政府性基金预算财政拨款收入支出，政府性基金预算财政拨款收入支出决算表为空表。</w:t>
      </w:r>
    </w:p>
    <w:p>
      <w:pPr>
        <w:ind w:firstLine="640" w:firstLineChars="200"/>
        <w:outlineLvl w:val="1"/>
        <w:rPr>
          <w:rFonts w:ascii="黑体" w:hAnsi="黑体" w:eastAsia="黑体" w:cs="宋体"/>
          <w:bCs/>
          <w:kern w:val="0"/>
          <w:sz w:val="32"/>
          <w:szCs w:val="32"/>
        </w:rPr>
      </w:pPr>
      <w:bookmarkStart w:id="24" w:name="_Toc7314"/>
      <w:bookmarkStart w:id="25" w:name="_Toc1235"/>
      <w:r>
        <w:rPr>
          <w:rFonts w:hint="eastAsia" w:ascii="黑体" w:hAnsi="黑体" w:eastAsia="黑体" w:cs="宋体"/>
          <w:bCs/>
          <w:kern w:val="0"/>
          <w:sz w:val="32"/>
          <w:szCs w:val="32"/>
        </w:rPr>
        <w:t>九、其他重要事项的情况说明</w:t>
      </w:r>
      <w:bookmarkEnd w:id="24"/>
      <w:bookmarkEnd w:id="25"/>
    </w:p>
    <w:p>
      <w:pPr>
        <w:ind w:firstLine="640" w:firstLineChars="200"/>
        <w:outlineLvl w:val="2"/>
        <w:rPr>
          <w:rFonts w:ascii="黑体" w:hAnsi="黑体" w:eastAsia="黑体"/>
          <w:sz w:val="32"/>
          <w:szCs w:val="32"/>
        </w:rPr>
      </w:pPr>
      <w:bookmarkStart w:id="26" w:name="_Toc14519"/>
      <w:bookmarkStart w:id="27" w:name="_Toc13105"/>
      <w:r>
        <w:rPr>
          <w:rFonts w:hint="eastAsia" w:ascii="黑体" w:hAnsi="黑体" w:eastAsia="黑体"/>
          <w:sz w:val="32"/>
          <w:szCs w:val="32"/>
        </w:rPr>
        <w:t>（一）机关运行经费支出情况</w:t>
      </w:r>
      <w:bookmarkEnd w:id="26"/>
      <w:bookmarkEnd w:id="27"/>
    </w:p>
    <w:p>
      <w:pPr>
        <w:ind w:firstLine="640" w:firstLineChars="200"/>
        <w:rPr>
          <w:rFonts w:ascii="仿宋_GB2312" w:eastAsia="仿宋_GB2312"/>
          <w:sz w:val="32"/>
          <w:szCs w:val="32"/>
        </w:rPr>
      </w:pPr>
      <w:r>
        <w:rPr>
          <w:rFonts w:hint="eastAsia" w:ascii="仿宋_GB2312" w:eastAsia="仿宋_GB2312"/>
          <w:color w:val="000000" w:themeColor="text1"/>
          <w:sz w:val="32"/>
          <w:szCs w:val="32"/>
          <w:lang w:val="en-US" w:eastAsia="zh-CN"/>
          <w14:textFill>
            <w14:solidFill>
              <w14:schemeClr w14:val="tx1"/>
            </w14:solidFill>
          </w14:textFill>
        </w:rPr>
        <w:t>2019年度</w:t>
      </w:r>
      <w:r>
        <w:rPr>
          <w:rFonts w:hint="eastAsia" w:ascii="仿宋_GB2312" w:eastAsia="仿宋_GB2312"/>
          <w:color w:val="000000" w:themeColor="text1"/>
          <w:sz w:val="32"/>
          <w:szCs w:val="32"/>
          <w14:textFill>
            <w14:solidFill>
              <w14:schemeClr w14:val="tx1"/>
            </w14:solidFill>
          </w14:textFill>
        </w:rPr>
        <w:t>新疆喀什地区巴楚县农村合作经济经营管理局日常公用经费13.17万元，比上年减少7.84万元，降低37.32%，主要原因是日常公用经费商品和服务支出降低。</w:t>
      </w:r>
    </w:p>
    <w:p>
      <w:pPr>
        <w:ind w:firstLine="640" w:firstLineChars="200"/>
        <w:outlineLvl w:val="2"/>
        <w:rPr>
          <w:rFonts w:ascii="黑体" w:hAnsi="黑体" w:eastAsia="黑体"/>
          <w:sz w:val="32"/>
          <w:szCs w:val="32"/>
        </w:rPr>
      </w:pPr>
      <w:bookmarkStart w:id="28" w:name="_Toc227"/>
      <w:bookmarkStart w:id="29" w:name="_Toc26704"/>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ascii="仿宋_GB2312" w:eastAsia="仿宋_GB2312"/>
          <w:sz w:val="32"/>
          <w:szCs w:val="32"/>
        </w:rPr>
        <w:t>2019</w:t>
      </w:r>
      <w:r>
        <w:rPr>
          <w:rFonts w:hint="eastAsia" w:ascii="仿宋_GB2312" w:eastAsia="仿宋_GB2312"/>
          <w:sz w:val="32"/>
          <w:szCs w:val="32"/>
        </w:rPr>
        <w:t>年度政府采购支出总额35.18万元，其中：政府采购货物支出34.89万元、政府采购工程支出0万元、政府采购服务支出0.29万元。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授予中小企业合同金额35.18万元，占政府采购支出总额的100%，其中：授予小微企业合同金额34.89万元，占政府采购支出总额的99.18%。</w:t>
      </w:r>
    </w:p>
    <w:p>
      <w:pPr>
        <w:ind w:firstLine="640" w:firstLineChars="200"/>
        <w:outlineLvl w:val="2"/>
        <w:rPr>
          <w:rFonts w:ascii="黑体" w:hAnsi="黑体" w:eastAsia="黑体"/>
          <w:sz w:val="32"/>
          <w:szCs w:val="32"/>
        </w:rPr>
      </w:pPr>
      <w:bookmarkStart w:id="30" w:name="_Toc8391"/>
      <w:bookmarkStart w:id="31" w:name="_Toc45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hint="eastAsia" w:ascii="仿宋_GB2312" w:eastAsia="仿宋_GB2312"/>
          <w:sz w:val="32"/>
          <w:szCs w:val="32"/>
        </w:rPr>
        <w:t>截止</w:t>
      </w:r>
      <w:r>
        <w:rPr>
          <w:rFonts w:ascii="仿宋_GB2312" w:eastAsia="仿宋_GB2312"/>
          <w:sz w:val="32"/>
          <w:szCs w:val="32"/>
        </w:rPr>
        <w:t>2019</w:t>
      </w:r>
      <w:r>
        <w:rPr>
          <w:rFonts w:hint="eastAsia" w:ascii="仿宋_GB2312" w:eastAsia="仿宋_GB2312"/>
          <w:sz w:val="32"/>
          <w:szCs w:val="32"/>
        </w:rPr>
        <w:t>年12月31日，单位共有房屋0（平方米），价值0万元。车辆1辆，价值10.80万元，其中：副部（省）级及以上领导用车0辆、主要领导干部用车</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辆、机要通信用车</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辆、应急保障用车</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辆、执法执勤用车0辆、特种专业技术用车0辆、离退休干部用车</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辆、其他用车</w:t>
      </w:r>
      <w:r>
        <w:rPr>
          <w:rFonts w:ascii="仿宋_GB2312" w:eastAsia="仿宋_GB2312"/>
          <w:color w:val="000000" w:themeColor="text1"/>
          <w:sz w:val="32"/>
          <w:szCs w:val="32"/>
          <w14:textFill>
            <w14:solidFill>
              <w14:schemeClr w14:val="tx1"/>
            </w14:solidFill>
          </w14:textFill>
        </w:rPr>
        <w:t>1</w:t>
      </w:r>
      <w:r>
        <w:rPr>
          <w:rFonts w:hint="eastAsia" w:ascii="仿宋_GB2312" w:eastAsia="仿宋_GB2312"/>
          <w:sz w:val="32"/>
          <w:szCs w:val="32"/>
        </w:rPr>
        <w:t>辆，其他用车主要是：</w:t>
      </w:r>
      <w:r>
        <w:rPr>
          <w:rFonts w:ascii="仿宋_GB2312" w:eastAsia="仿宋_GB2312"/>
          <w:color w:val="000000" w:themeColor="text1"/>
          <w:sz w:val="32"/>
          <w:szCs w:val="32"/>
          <w14:textFill>
            <w14:solidFill>
              <w14:schemeClr w14:val="tx1"/>
            </w14:solidFill>
          </w14:textFill>
        </w:rPr>
        <w:t>日常公务用车；</w:t>
      </w:r>
      <w:r>
        <w:rPr>
          <w:rFonts w:hint="eastAsia" w:ascii="仿宋_GB2312" w:eastAsia="仿宋_GB2312"/>
          <w:sz w:val="32"/>
          <w:szCs w:val="32"/>
        </w:rPr>
        <w:t>单位价值50万元以上通用设备0台（套）、单位价值100万元以上专用设备0台（套）。</w:t>
      </w:r>
    </w:p>
    <w:p>
      <w:pPr>
        <w:ind w:firstLine="640" w:firstLineChars="200"/>
        <w:outlineLvl w:val="1"/>
        <w:rPr>
          <w:rFonts w:ascii="黑体" w:hAnsi="黑体" w:eastAsia="黑体" w:cs="宋体"/>
          <w:bCs/>
          <w:kern w:val="0"/>
          <w:sz w:val="32"/>
          <w:szCs w:val="32"/>
        </w:rPr>
      </w:pPr>
      <w:bookmarkStart w:id="32" w:name="_Toc11283"/>
      <w:bookmarkStart w:id="33" w:name="_Toc435"/>
      <w:r>
        <w:rPr>
          <w:rFonts w:hint="eastAsia" w:ascii="黑体" w:hAnsi="黑体" w:eastAsia="黑体" w:cs="宋体"/>
          <w:bCs/>
          <w:kern w:val="0"/>
          <w:sz w:val="32"/>
          <w:szCs w:val="32"/>
        </w:rPr>
        <w:t>十、预算绩效的情况说明</w:t>
      </w:r>
      <w:bookmarkEnd w:id="32"/>
      <w:bookmarkEnd w:id="33"/>
    </w:p>
    <w:p>
      <w:pPr>
        <w:ind w:firstLine="640" w:firstLineChars="200"/>
        <w:rPr>
          <w:rFonts w:hint="eastAsia" w:ascii="仿宋_GB2312" w:eastAsia="仿宋_GB2312"/>
          <w:sz w:val="32"/>
          <w:szCs w:val="32"/>
          <w:highlight w:val="none"/>
          <w:lang w:val="en-US" w:eastAsia="zh-CN"/>
        </w:rPr>
      </w:pPr>
      <w:r>
        <w:rPr>
          <w:rFonts w:hint="eastAsia" w:ascii="仿宋_GB2312" w:eastAsia="仿宋_GB2312"/>
          <w:sz w:val="32"/>
          <w:szCs w:val="32"/>
        </w:rPr>
        <w:t>根据预算绩效管理要求，我单位2019年度开展预算绩效评价项目4个。预算绩效管理取得的成效：</w:t>
      </w:r>
      <w:r>
        <w:rPr>
          <w:rFonts w:hint="eastAsia" w:ascii="仿宋_GB2312" w:eastAsia="仿宋_GB2312"/>
          <w:sz w:val="32"/>
          <w:szCs w:val="32"/>
          <w:highlight w:val="none"/>
        </w:rPr>
        <w:t>一是产出指标评价：</w:t>
      </w:r>
      <w:r>
        <w:rPr>
          <w:rFonts w:hint="eastAsia" w:ascii="仿宋_GB2312" w:eastAsia="仿宋_GB2312"/>
          <w:sz w:val="32"/>
          <w:szCs w:val="32"/>
          <w:highlight w:val="none"/>
          <w:lang w:val="en-US" w:eastAsia="zh-CN"/>
        </w:rPr>
        <w:t>相关指标</w:t>
      </w:r>
      <w:r>
        <w:rPr>
          <w:rFonts w:hint="eastAsia" w:ascii="仿宋_GB2312" w:eastAsia="仿宋_GB2312"/>
          <w:sz w:val="32"/>
          <w:szCs w:val="32"/>
          <w:highlight w:val="none"/>
        </w:rPr>
        <w:t>任务是在预算资金额度内完成，并通过规范的招投标及严格的资金管理及项目管理措施实现了资金的节约。农业生产发展项目（农民合作社、农业生产社会化服务）</w:t>
      </w:r>
      <w:r>
        <w:rPr>
          <w:rFonts w:hint="eastAsia" w:ascii="仿宋_GB2312" w:eastAsia="仿宋_GB2312"/>
          <w:sz w:val="32"/>
          <w:szCs w:val="32"/>
          <w:highlight w:val="none"/>
          <w:lang w:val="en-US" w:eastAsia="zh-CN"/>
        </w:rPr>
        <w:t>,扶持扶贫互助农民合作社37家,扶持自治区级以上农民合作社1家,农业生产服务主体完成服务面积1万亩，每亩补助49.2元；巴楚县农村集体资产清产核资项目，经过政采云采购打印机209台，电脑2台，装订机1台，打印纸55箱，已采购发放到各乡镇场、村；巴楚县农村土地确权登记颁证项目，农村土地承包经营权确权颁证涉及全县196个行政村，30年承包地面积102.35万亩，航飞影像分辨率100%，土地测量合格率100%。</w:t>
      </w:r>
      <w:r>
        <w:rPr>
          <w:rFonts w:hint="eastAsia" w:ascii="仿宋_GB2312" w:eastAsia="仿宋_GB2312"/>
          <w:sz w:val="32"/>
          <w:szCs w:val="32"/>
          <w:highlight w:val="none"/>
        </w:rPr>
        <w:t>二是效益指标评价：各项工作计划按预期计划按时完成，效益按预期时间产生</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农业生产发展项目（农民合作社、农业生产社会化服务）</w:t>
      </w:r>
      <w:r>
        <w:rPr>
          <w:rFonts w:hint="eastAsia" w:ascii="仿宋_GB2312" w:eastAsia="仿宋_GB2312"/>
          <w:sz w:val="32"/>
          <w:szCs w:val="32"/>
          <w:highlight w:val="none"/>
          <w:lang w:eastAsia="zh-CN"/>
        </w:rPr>
        <w:t>自治区级示范社发挥示范引领作用增强，农业生产服务主体开展农业生产社会化服务积极性得到提升；</w:t>
      </w:r>
      <w:r>
        <w:rPr>
          <w:rFonts w:hint="eastAsia" w:ascii="仿宋_GB2312" w:eastAsia="仿宋_GB2312"/>
          <w:sz w:val="32"/>
          <w:szCs w:val="32"/>
          <w:highlight w:val="none"/>
          <w:lang w:val="en-US" w:eastAsia="zh-CN"/>
        </w:rPr>
        <w:t>巴楚县农村集体资产清产核资项目，</w:t>
      </w:r>
      <w:r>
        <w:rPr>
          <w:rFonts w:hint="eastAsia" w:ascii="仿宋_GB2312" w:eastAsia="仿宋_GB2312"/>
          <w:sz w:val="32"/>
          <w:szCs w:val="32"/>
          <w:highlight w:val="none"/>
          <w:lang w:eastAsia="zh-CN"/>
        </w:rPr>
        <w:t>盘活农村资产资源，激活市场主体活力，壮大集体经济，促进农业发展、农民增收</w:t>
      </w:r>
      <w:r>
        <w:rPr>
          <w:rFonts w:hint="eastAsia" w:ascii="仿宋_GB2312" w:eastAsia="仿宋_GB2312"/>
          <w:sz w:val="32"/>
          <w:szCs w:val="32"/>
          <w:highlight w:val="none"/>
          <w:lang w:val="en-US" w:eastAsia="zh-CN"/>
        </w:rPr>
        <w:t>4%，促进了农村繁荣，助力乡村振兴战略实施。巴楚县农村土地确权登记颁证项目，解决土地权属纠纷，稳定和完善农村土地承包关系。</w:t>
      </w:r>
      <w:r>
        <w:rPr>
          <w:rFonts w:hint="eastAsia" w:ascii="仿宋_GB2312" w:eastAsia="仿宋_GB2312"/>
          <w:sz w:val="32"/>
          <w:szCs w:val="32"/>
          <w:highlight w:val="none"/>
        </w:rPr>
        <w:t>三是满意度指标评价：根据调查问卷，农业生产发展项目（农民合作社、农业生产社会化服务）满意度指标完成</w:t>
      </w:r>
      <w:r>
        <w:rPr>
          <w:rFonts w:hint="eastAsia" w:ascii="仿宋_GB2312" w:eastAsia="仿宋_GB2312"/>
          <w:sz w:val="32"/>
          <w:szCs w:val="32"/>
          <w:highlight w:val="none"/>
          <w:lang w:val="en-US" w:eastAsia="zh-CN"/>
        </w:rPr>
        <w:t>94%</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巴楚县农村集体资产清产核资项目，</w:t>
      </w:r>
      <w:r>
        <w:rPr>
          <w:rFonts w:hint="eastAsia" w:ascii="仿宋_GB2312" w:eastAsia="仿宋_GB2312"/>
          <w:sz w:val="32"/>
          <w:szCs w:val="32"/>
          <w:highlight w:val="none"/>
        </w:rPr>
        <w:t>满意度指标完成</w:t>
      </w:r>
      <w:r>
        <w:rPr>
          <w:rFonts w:hint="eastAsia" w:ascii="仿宋_GB2312" w:eastAsia="仿宋_GB2312"/>
          <w:sz w:val="32"/>
          <w:szCs w:val="32"/>
          <w:highlight w:val="none"/>
          <w:lang w:val="en-US" w:eastAsia="zh-CN"/>
        </w:rPr>
        <w:t>98%</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巴楚县农村土地确权登记颁证项目，</w:t>
      </w:r>
      <w:r>
        <w:rPr>
          <w:rFonts w:hint="eastAsia" w:ascii="仿宋_GB2312" w:eastAsia="仿宋_GB2312"/>
          <w:sz w:val="32"/>
          <w:szCs w:val="32"/>
          <w:highlight w:val="none"/>
        </w:rPr>
        <w:t>满意度指标完成</w:t>
      </w:r>
      <w:r>
        <w:rPr>
          <w:rFonts w:hint="eastAsia" w:ascii="仿宋_GB2312" w:eastAsia="仿宋_GB2312"/>
          <w:sz w:val="32"/>
          <w:szCs w:val="32"/>
          <w:highlight w:val="none"/>
          <w:lang w:val="en-US" w:eastAsia="zh-CN"/>
        </w:rPr>
        <w:t>95%。</w:t>
      </w:r>
      <w:r>
        <w:rPr>
          <w:rFonts w:hint="eastAsia" w:ascii="仿宋_GB2312" w:eastAsia="仿宋_GB2312"/>
          <w:sz w:val="32"/>
          <w:szCs w:val="32"/>
          <w:highlight w:val="none"/>
        </w:rPr>
        <w:t>发现的问题及原因：农业生产发展项目（农民合作社、农业生产社会化服务）</w:t>
      </w:r>
      <w:r>
        <w:rPr>
          <w:rFonts w:hint="eastAsia" w:ascii="仿宋_GB2312" w:eastAsia="仿宋_GB2312"/>
          <w:sz w:val="32"/>
          <w:szCs w:val="32"/>
          <w:highlight w:val="none"/>
          <w:lang w:eastAsia="zh-CN"/>
        </w:rPr>
        <w:t>，有10家合作社不符合项目实施要求，用水协会1家已注销，经向喀什地区农经局申请变更项目实施主体后实施，部分农业生产服务主体服务对象认为项目资金补贴标准过低。</w:t>
      </w:r>
      <w:r>
        <w:rPr>
          <w:rFonts w:hint="eastAsia" w:ascii="仿宋_GB2312" w:eastAsia="仿宋_GB2312"/>
          <w:sz w:val="32"/>
          <w:szCs w:val="32"/>
          <w:highlight w:val="none"/>
          <w:lang w:val="en-US" w:eastAsia="zh-CN"/>
        </w:rPr>
        <w:t>巴楚县农村集体资产清产核资项目，清产核资培训在农村集体资产产权制度改革第二季度使用。巴楚县农村土地确权登记颁证项目，由于自治区土地确权证书没有印刷出来，未邮寄到，只完成600户。</w:t>
      </w:r>
      <w:r>
        <w:rPr>
          <w:rFonts w:hint="eastAsia" w:ascii="仿宋_GB2312" w:eastAsia="仿宋_GB2312"/>
          <w:sz w:val="32"/>
          <w:szCs w:val="32"/>
        </w:rPr>
        <w:t>下一步改进措施</w:t>
      </w:r>
      <w:r>
        <w:rPr>
          <w:rFonts w:hint="eastAsia" w:ascii="仿宋_GB2312" w:eastAsia="仿宋_GB2312"/>
          <w:sz w:val="32"/>
          <w:szCs w:val="32"/>
          <w:highlight w:val="none"/>
          <w:lang w:val="en-US" w:eastAsia="zh-CN"/>
        </w:rPr>
        <w:t>：一是加强绩效管理工作的人员业务培训；二是建立健全规章制度，对绩效管理工作细化、量化，增加可操作性；三是制定科学合理的绩效考核机制，进一步细化绩效考核流程，并严格执行绩效考核制度，切忌流于形式。具体项目自评情况附项目支出绩效自评表。</w:t>
      </w:r>
    </w:p>
    <w:p>
      <w:pPr>
        <w:ind w:firstLine="640" w:firstLineChars="200"/>
        <w:rPr>
          <w:rFonts w:ascii="仿宋_GB2312" w:eastAsia="仿宋_GB2312"/>
          <w:sz w:val="32"/>
          <w:szCs w:val="32"/>
        </w:rPr>
      </w:pPr>
    </w:p>
    <w:p>
      <w:pPr>
        <w:ind w:firstLine="640" w:firstLineChars="200"/>
        <w:jc w:val="center"/>
        <w:outlineLvl w:val="0"/>
        <w:rPr>
          <w:rFonts w:ascii="黑体" w:hAnsi="黑体" w:eastAsia="黑体"/>
          <w:sz w:val="32"/>
          <w:szCs w:val="32"/>
        </w:rPr>
      </w:pPr>
      <w:bookmarkStart w:id="34" w:name="_Toc3250"/>
      <w:bookmarkStart w:id="35" w:name="_Toc24143"/>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bookmarkStart w:id="36" w:name="_Toc28903"/>
      <w:bookmarkStart w:id="37" w:name="_Toc22784"/>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6062"/>
      <w:bookmarkStart w:id="39" w:name="_Toc2183"/>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30364"/>
      <w:bookmarkStart w:id="41" w:name="_Toc24532"/>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32434"/>
      <w:bookmarkStart w:id="43" w:name="_Toc2130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14238"/>
      <w:bookmarkStart w:id="45" w:name="_Toc28786"/>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4869"/>
      <w:bookmarkStart w:id="47" w:name="_Toc10347"/>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5626"/>
      <w:bookmarkStart w:id="49" w:name="_Toc8884"/>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29106"/>
      <w:bookmarkStart w:id="51" w:name="_Toc32663"/>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7643"/>
      <w:bookmarkStart w:id="53" w:name="_Toc5453"/>
      <w:r>
        <w:rPr>
          <w:rFonts w:hint="eastAsia" w:ascii="黑体" w:hAnsi="黑体" w:eastAsia="黑体" w:cs="宋体"/>
          <w:bCs/>
          <w:kern w:val="0"/>
          <w:sz w:val="32"/>
          <w:szCs w:val="32"/>
        </w:rPr>
        <w:t>八、《政府性基金预算财政拨款收入支出决算表》</w:t>
      </w:r>
      <w:bookmarkEnd w:id="52"/>
      <w:bookmarkEnd w:id="53"/>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OqXm5zwAAAAUBAAAPAAAAAAAAAAEAIAAAACIAAABkcnMvZG93bnJldi54&#10;bWxQSwECFAAUAAAACACHTuJA5STQfgMCAAAEBAAADgAAAAAAAAABACAAAAAeAQAAZHJzL2Uyb0Rv&#10;Yy54bWxQSwUGAAAAAAYABgBZAQAAkwU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40"/>
  <w:bordersDoNotSurroundHeader w:val="1"/>
  <w:bordersDoNotSurroundFooter w:val="1"/>
  <w:documentProtection w:edit="comments"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E66"/>
    <w:rsid w:val="000033EF"/>
    <w:rsid w:val="00004533"/>
    <w:rsid w:val="00005A21"/>
    <w:rsid w:val="0004063C"/>
    <w:rsid w:val="000701A7"/>
    <w:rsid w:val="00082456"/>
    <w:rsid w:val="000A663A"/>
    <w:rsid w:val="000B57B8"/>
    <w:rsid w:val="000F01B7"/>
    <w:rsid w:val="000F6705"/>
    <w:rsid w:val="001128A8"/>
    <w:rsid w:val="001130AE"/>
    <w:rsid w:val="001237CF"/>
    <w:rsid w:val="00125A6F"/>
    <w:rsid w:val="0014029C"/>
    <w:rsid w:val="00146FA3"/>
    <w:rsid w:val="00162E66"/>
    <w:rsid w:val="001826D1"/>
    <w:rsid w:val="001848EE"/>
    <w:rsid w:val="00186B3B"/>
    <w:rsid w:val="001C2D35"/>
    <w:rsid w:val="001C5BE8"/>
    <w:rsid w:val="001C6E66"/>
    <w:rsid w:val="001D3634"/>
    <w:rsid w:val="001D37EF"/>
    <w:rsid w:val="001E4D79"/>
    <w:rsid w:val="001F777A"/>
    <w:rsid w:val="002122DE"/>
    <w:rsid w:val="00227229"/>
    <w:rsid w:val="002328AF"/>
    <w:rsid w:val="00233021"/>
    <w:rsid w:val="0024217C"/>
    <w:rsid w:val="00243E6C"/>
    <w:rsid w:val="00265F92"/>
    <w:rsid w:val="00272845"/>
    <w:rsid w:val="0029171A"/>
    <w:rsid w:val="00292B7F"/>
    <w:rsid w:val="002B072F"/>
    <w:rsid w:val="002B37DA"/>
    <w:rsid w:val="002B7A04"/>
    <w:rsid w:val="002D187F"/>
    <w:rsid w:val="002F1732"/>
    <w:rsid w:val="00327986"/>
    <w:rsid w:val="003314E6"/>
    <w:rsid w:val="00340AE7"/>
    <w:rsid w:val="00354737"/>
    <w:rsid w:val="0037159F"/>
    <w:rsid w:val="00377EC6"/>
    <w:rsid w:val="003920B8"/>
    <w:rsid w:val="003A44F0"/>
    <w:rsid w:val="003C3EF4"/>
    <w:rsid w:val="003D1DD1"/>
    <w:rsid w:val="003E5F70"/>
    <w:rsid w:val="00400D8F"/>
    <w:rsid w:val="00430E56"/>
    <w:rsid w:val="004318F5"/>
    <w:rsid w:val="00456820"/>
    <w:rsid w:val="00471387"/>
    <w:rsid w:val="00471BBD"/>
    <w:rsid w:val="0047268F"/>
    <w:rsid w:val="004A41CF"/>
    <w:rsid w:val="004A44C9"/>
    <w:rsid w:val="004B2E7F"/>
    <w:rsid w:val="004D35C0"/>
    <w:rsid w:val="004E519F"/>
    <w:rsid w:val="004F1D2D"/>
    <w:rsid w:val="00531503"/>
    <w:rsid w:val="00534ECA"/>
    <w:rsid w:val="005358C2"/>
    <w:rsid w:val="005474EB"/>
    <w:rsid w:val="005506DD"/>
    <w:rsid w:val="005529D0"/>
    <w:rsid w:val="00553FB5"/>
    <w:rsid w:val="00554A58"/>
    <w:rsid w:val="00560394"/>
    <w:rsid w:val="0056525F"/>
    <w:rsid w:val="005B1DE6"/>
    <w:rsid w:val="005C11EB"/>
    <w:rsid w:val="006032AE"/>
    <w:rsid w:val="0068591E"/>
    <w:rsid w:val="00690F22"/>
    <w:rsid w:val="00693012"/>
    <w:rsid w:val="006B0B73"/>
    <w:rsid w:val="006D2B94"/>
    <w:rsid w:val="006E0721"/>
    <w:rsid w:val="0070295D"/>
    <w:rsid w:val="00725755"/>
    <w:rsid w:val="0075023C"/>
    <w:rsid w:val="00750D8A"/>
    <w:rsid w:val="00764051"/>
    <w:rsid w:val="00772611"/>
    <w:rsid w:val="007741F8"/>
    <w:rsid w:val="007B0022"/>
    <w:rsid w:val="007E2E4F"/>
    <w:rsid w:val="007E3BFD"/>
    <w:rsid w:val="00807B4B"/>
    <w:rsid w:val="008144CF"/>
    <w:rsid w:val="00827663"/>
    <w:rsid w:val="00847CE1"/>
    <w:rsid w:val="00852D88"/>
    <w:rsid w:val="00857132"/>
    <w:rsid w:val="00862395"/>
    <w:rsid w:val="008853A8"/>
    <w:rsid w:val="00887778"/>
    <w:rsid w:val="008D5B57"/>
    <w:rsid w:val="008F7D99"/>
    <w:rsid w:val="00922FA7"/>
    <w:rsid w:val="00927301"/>
    <w:rsid w:val="009351E1"/>
    <w:rsid w:val="0094423A"/>
    <w:rsid w:val="00963E2E"/>
    <w:rsid w:val="009774AD"/>
    <w:rsid w:val="00980F6F"/>
    <w:rsid w:val="009A173F"/>
    <w:rsid w:val="009C479E"/>
    <w:rsid w:val="009F4245"/>
    <w:rsid w:val="009F594D"/>
    <w:rsid w:val="00A009B3"/>
    <w:rsid w:val="00A239E7"/>
    <w:rsid w:val="00A34EDA"/>
    <w:rsid w:val="00AA13D0"/>
    <w:rsid w:val="00AC0B18"/>
    <w:rsid w:val="00AC1D87"/>
    <w:rsid w:val="00AE136F"/>
    <w:rsid w:val="00AE6C82"/>
    <w:rsid w:val="00AE7A56"/>
    <w:rsid w:val="00AF0871"/>
    <w:rsid w:val="00AF530E"/>
    <w:rsid w:val="00AF5DFE"/>
    <w:rsid w:val="00B006E5"/>
    <w:rsid w:val="00B13535"/>
    <w:rsid w:val="00B24234"/>
    <w:rsid w:val="00B3219F"/>
    <w:rsid w:val="00B51D57"/>
    <w:rsid w:val="00B64D13"/>
    <w:rsid w:val="00B76725"/>
    <w:rsid w:val="00BC38D2"/>
    <w:rsid w:val="00BC65E4"/>
    <w:rsid w:val="00BE0A9F"/>
    <w:rsid w:val="00C01003"/>
    <w:rsid w:val="00C87860"/>
    <w:rsid w:val="00C92609"/>
    <w:rsid w:val="00C974A0"/>
    <w:rsid w:val="00CA0969"/>
    <w:rsid w:val="00CB7A14"/>
    <w:rsid w:val="00CD1E0A"/>
    <w:rsid w:val="00CD44C9"/>
    <w:rsid w:val="00CE40E2"/>
    <w:rsid w:val="00CE4AEB"/>
    <w:rsid w:val="00CE74CB"/>
    <w:rsid w:val="00D00B68"/>
    <w:rsid w:val="00D04E19"/>
    <w:rsid w:val="00D6644C"/>
    <w:rsid w:val="00D71F68"/>
    <w:rsid w:val="00D767F4"/>
    <w:rsid w:val="00DA07A0"/>
    <w:rsid w:val="00DB6F81"/>
    <w:rsid w:val="00DC1313"/>
    <w:rsid w:val="00DD3B82"/>
    <w:rsid w:val="00E43F43"/>
    <w:rsid w:val="00EE3598"/>
    <w:rsid w:val="00EE791B"/>
    <w:rsid w:val="00F040C7"/>
    <w:rsid w:val="00F04DC0"/>
    <w:rsid w:val="00F24BA1"/>
    <w:rsid w:val="00F45607"/>
    <w:rsid w:val="00F552F7"/>
    <w:rsid w:val="00F57EE2"/>
    <w:rsid w:val="00F777E1"/>
    <w:rsid w:val="00F80266"/>
    <w:rsid w:val="00F83E19"/>
    <w:rsid w:val="00FB3828"/>
    <w:rsid w:val="00FC7A52"/>
    <w:rsid w:val="00FE0761"/>
    <w:rsid w:val="00FF5166"/>
    <w:rsid w:val="03AE510F"/>
    <w:rsid w:val="057B43BB"/>
    <w:rsid w:val="06792773"/>
    <w:rsid w:val="121B1740"/>
    <w:rsid w:val="14D53A33"/>
    <w:rsid w:val="1DAF458D"/>
    <w:rsid w:val="232242F3"/>
    <w:rsid w:val="24AB3BCF"/>
    <w:rsid w:val="2A053397"/>
    <w:rsid w:val="2D1136DF"/>
    <w:rsid w:val="31C63837"/>
    <w:rsid w:val="331143A7"/>
    <w:rsid w:val="3AC4491C"/>
    <w:rsid w:val="3D5275AC"/>
    <w:rsid w:val="46901EEE"/>
    <w:rsid w:val="469C74D2"/>
    <w:rsid w:val="483C3DFB"/>
    <w:rsid w:val="4CE85EB5"/>
    <w:rsid w:val="4EF029AE"/>
    <w:rsid w:val="50DB5F45"/>
    <w:rsid w:val="613979E8"/>
    <w:rsid w:val="61B56DD7"/>
    <w:rsid w:val="622B2FE2"/>
    <w:rsid w:val="63842E1E"/>
    <w:rsid w:val="65A71FAE"/>
    <w:rsid w:val="69AD798C"/>
    <w:rsid w:val="6B273C8B"/>
    <w:rsid w:val="6B68175F"/>
    <w:rsid w:val="73FB6630"/>
    <w:rsid w:val="77ED6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1034</Words>
  <Characters>5894</Characters>
  <Lines>49</Lines>
  <Paragraphs>13</Paragraphs>
  <TotalTime>0</TotalTime>
  <ScaleCrop>false</ScaleCrop>
  <LinksUpToDate>false</LinksUpToDate>
  <CharactersWithSpaces>6915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2020-07-16T02:47:00Z</dcterms:created>
  <dc:creator>GXR</dc:creator>
  <cp:lastModifiedBy>Administrator</cp:lastModifiedBy>
  <dcterms:modified xsi:type="dcterms:W3CDTF">2021-06-22T08:23:29Z</dcterms:modified>
  <cp:revision>150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